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97" w:rsidRPr="009D4D97" w:rsidRDefault="009D4D97" w:rsidP="009D4D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</w:pPr>
      <w:proofErr w:type="spellStart"/>
      <w:proofErr w:type="gramStart"/>
      <w:r w:rsidRPr="009D4D97">
        <w:rPr>
          <w:rFonts w:ascii="Times New Roman" w:hAnsi="Times New Roman" w:cs="Times New Roman"/>
          <w:color w:val="000000"/>
          <w:sz w:val="20"/>
        </w:rPr>
        <w:t>Ғылыми</w:t>
      </w:r>
      <w:proofErr w:type="spellEnd"/>
      <w:r w:rsidRPr="009D4D9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D4D97">
        <w:rPr>
          <w:rFonts w:ascii="Times New Roman" w:hAnsi="Times New Roman" w:cs="Times New Roman"/>
          <w:color w:val="000000"/>
          <w:sz w:val="20"/>
        </w:rPr>
        <w:t>атақтар</w:t>
      </w:r>
      <w:proofErr w:type="spellEnd"/>
      <w:r w:rsidRPr="009D4D97">
        <w:rPr>
          <w:rFonts w:ascii="Times New Roman" w:hAnsi="Times New Roman" w:cs="Times New Roman"/>
          <w:color w:val="000000"/>
          <w:sz w:val="20"/>
        </w:rPr>
        <w:t xml:space="preserve"> </w:t>
      </w:r>
      <w:r w:rsidRPr="009D4D97">
        <w:rPr>
          <w:rFonts w:ascii="Times New Roman" w:hAnsi="Times New Roman" w:cs="Times New Roman"/>
        </w:rPr>
        <w:br/>
      </w:r>
      <w:proofErr w:type="spellStart"/>
      <w:r w:rsidRPr="009D4D97">
        <w:rPr>
          <w:rFonts w:ascii="Times New Roman" w:hAnsi="Times New Roman" w:cs="Times New Roman"/>
          <w:color w:val="000000"/>
          <w:sz w:val="20"/>
        </w:rPr>
        <w:t>қауымдастырылған</w:t>
      </w:r>
      <w:proofErr w:type="spellEnd"/>
      <w:r w:rsidRPr="009D4D97">
        <w:rPr>
          <w:rFonts w:ascii="Times New Roman" w:hAnsi="Times New Roman" w:cs="Times New Roman"/>
        </w:rPr>
        <w:br/>
      </w:r>
      <w:r w:rsidRPr="009D4D97">
        <w:rPr>
          <w:rFonts w:ascii="Times New Roman" w:hAnsi="Times New Roman" w:cs="Times New Roman"/>
          <w:color w:val="000000"/>
          <w:sz w:val="20"/>
        </w:rPr>
        <w:t>профессор (доцент),</w:t>
      </w:r>
      <w:r w:rsidRPr="009D4D97">
        <w:rPr>
          <w:rFonts w:ascii="Times New Roman" w:hAnsi="Times New Roman" w:cs="Times New Roman"/>
        </w:rPr>
        <w:br/>
      </w:r>
      <w:r w:rsidRPr="009D4D97">
        <w:rPr>
          <w:rFonts w:ascii="Times New Roman" w:hAnsi="Times New Roman" w:cs="Times New Roman"/>
          <w:color w:val="000000"/>
          <w:sz w:val="20"/>
        </w:rPr>
        <w:t xml:space="preserve">профессор) беру </w:t>
      </w:r>
      <w:proofErr w:type="spellStart"/>
      <w:r w:rsidRPr="009D4D97">
        <w:rPr>
          <w:rFonts w:ascii="Times New Roman" w:hAnsi="Times New Roman" w:cs="Times New Roman"/>
          <w:color w:val="000000"/>
          <w:sz w:val="20"/>
        </w:rPr>
        <w:t>ережесіне</w:t>
      </w:r>
      <w:proofErr w:type="spellEnd"/>
      <w:r w:rsidRPr="009D4D97">
        <w:rPr>
          <w:rFonts w:ascii="Times New Roman" w:hAnsi="Times New Roman" w:cs="Times New Roman"/>
        </w:rPr>
        <w:br/>
      </w:r>
      <w:r w:rsidRPr="009D4D97">
        <w:rPr>
          <w:rFonts w:ascii="Times New Roman" w:hAnsi="Times New Roman" w:cs="Times New Roman"/>
          <w:color w:val="000000"/>
          <w:sz w:val="20"/>
        </w:rPr>
        <w:t>1-қосымша</w:t>
      </w:r>
      <w:r w:rsidRPr="009D4D97">
        <w:rPr>
          <w:rFonts w:ascii="Times New Roman" w:hAnsi="Times New Roman" w:cs="Times New Roman"/>
        </w:rPr>
        <w:br/>
      </w:r>
      <w:proofErr w:type="gramEnd"/>
    </w:p>
    <w:p w:rsidR="00B56853" w:rsidRPr="009D4D97" w:rsidRDefault="00200DEF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1C73">
        <w:rPr>
          <w:rFonts w:ascii="Times New Roman" w:hAnsi="Times New Roman" w:cs="Times New Roman"/>
          <w:color w:val="000000"/>
          <w:sz w:val="24"/>
          <w:szCs w:val="24"/>
          <w:lang w:val="kk-KZ"/>
        </w:rPr>
        <w:t>60500 Пәнаралық гуманитарлық ғылымдар</w:t>
      </w:r>
      <w:r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0DEF">
        <w:rPr>
          <w:rFonts w:ascii="Times New Roman" w:hAnsi="Times New Roman" w:cs="Times New Roman"/>
          <w:color w:val="000000"/>
          <w:sz w:val="24"/>
          <w:szCs w:val="24"/>
        </w:rPr>
        <w:t>маманды</w:t>
      </w:r>
      <w:proofErr w:type="spellEnd"/>
      <w:r w:rsidRPr="00200DEF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</w:t>
      </w:r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</w:p>
    <w:p w:rsidR="00B56853" w:rsidRPr="009D4D97" w:rsidRDefault="00DB3113" w:rsidP="00200D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0DE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қауымдастырылған профессор (доцент)</w:t>
      </w:r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атағын</w:t>
      </w:r>
      <w:proofErr w:type="spellEnd"/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ізденуші</w:t>
      </w:r>
      <w:proofErr w:type="spellEnd"/>
      <w:r w:rsidR="00B86274" w:rsidRPr="00200D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</w:p>
    <w:tbl>
      <w:tblPr>
        <w:tblpPr w:leftFromText="180" w:rightFromText="180" w:vertAnchor="text" w:horzAnchor="margin" w:tblpXSpec="center" w:tblpY="162"/>
        <w:tblW w:w="10080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969"/>
        <w:gridCol w:w="5670"/>
      </w:tblGrid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әкесінің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53" w:rsidRPr="009D4D97" w:rsidRDefault="00DB3113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Камишева Гулнур Аббасовна</w:t>
            </w: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F4378A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министрлігі Білім және ғылым саласындағы бақылау комитетінің 2011 жылы 26 ақпанындағы шешімімен (Хаттама №2) педагогика ғылымдарының кандидаты ғылыми дәрежесі берілді.</w:t>
            </w:r>
          </w:p>
          <w:p w:rsidR="00F4378A" w:rsidRPr="00200DEF" w:rsidRDefault="00F4378A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Құрметті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102D12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</w:t>
            </w:r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бұйрық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</w:t>
            </w:r>
            <w:proofErr w:type="gram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F91C73">
            <w:pPr>
              <w:tabs>
                <w:tab w:val="left" w:pos="5371"/>
              </w:tabs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Қорқыт ата атындағы ҚУ Шетел тілдері және аударма кафедрасының </w:t>
            </w:r>
            <w:r w:rsidR="005E6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  <w:r w:rsidRPr="00C2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Бұйрық №</w:t>
            </w:r>
            <w:r w:rsidR="00C211D9" w:rsidRPr="005E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1D9" w:rsidRPr="00C2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646-лс 15.09.2023</w:t>
            </w:r>
          </w:p>
          <w:p w:rsidR="00B56853" w:rsidRP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30</w:t>
            </w: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56853" w:rsidRP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лауазымда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 </w:t>
            </w:r>
            <w:proofErr w:type="gramStart"/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</w:t>
            </w:r>
            <w:proofErr w:type="gramEnd"/>
          </w:p>
        </w:tc>
      </w:tr>
      <w:tr w:rsidR="00B56853" w:rsidRPr="005E6C60" w:rsidTr="00102D12">
        <w:trPr>
          <w:trHeight w:val="4765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P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  <w:p w:rsidR="007915A9" w:rsidRPr="00200DEF" w:rsidRDefault="007915A9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915A9" w:rsidRPr="00200DEF" w:rsidRDefault="007915A9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915A9" w:rsidRPr="00200DEF" w:rsidRDefault="007915A9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915A9" w:rsidRPr="00200DEF" w:rsidRDefault="007915A9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Барлығы</w:t>
            </w:r>
            <w:r w:rsidR="00106BC4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5185E" w:rsidRPr="00933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106BC4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933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106BC4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B56853" w:rsidRP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уәкілетті орган ұсынатын басылымдарда</w:t>
            </w:r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915A9" w:rsidRPr="00200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933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DA2B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A2B0D" w:rsidRPr="00DA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мақала</w:t>
            </w: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Scopus (Скопус) базалардағы ғылыми журналдарда</w:t>
            </w:r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(квартилі Q2, </w:t>
            </w:r>
            <w:r w:rsidR="00DA2B0D" w:rsidRPr="00DA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</w:t>
            </w:r>
            <w:r w:rsidR="00200DEF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ite</w:t>
            </w:r>
            <w:r w:rsidR="00DA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Score-0,04 (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2019), процентиль (2019)- 54.380-830)  </w:t>
            </w:r>
            <w:r w:rsidR="00200DEF" w:rsidRPr="00DA2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жарық көрген. </w:t>
            </w:r>
          </w:p>
          <w:p w:rsidR="00200DEF" w:rsidRPr="00200DEF" w:rsidRDefault="00200DEF" w:rsidP="00102D12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 10 баспа табақтық </w:t>
            </w:r>
            <w:r w:rsidRPr="00DA2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монографиясы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(2024ж) және </w:t>
            </w:r>
            <w:r w:rsidR="00DA2B0D" w:rsidRPr="00EB5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ұжымдық монографиясы (2018ж)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жарық көрген.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 шетелдік халықаралық ғылыми-практикалық конференциялар мен республикалық деңгейдегі халықаралық ғылыми-практикалық конференцияларда, түрлі деңгейдегі отандық және халықаралық  басылымдарда </w:t>
            </w:r>
            <w:r w:rsidR="00EB5B35" w:rsidRPr="00EB5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="00EB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мақаласы жарияланған.</w:t>
            </w:r>
            <w:bookmarkStart w:id="0" w:name="_GoBack"/>
            <w:bookmarkEnd w:id="0"/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басылған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оқулықтар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</w:t>
            </w:r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102D12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диссертация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даярланған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шетелдік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даярланған</w:t>
            </w:r>
            <w:proofErr w:type="spellEnd"/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үниежүзілік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Азия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Еуропа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5E6C60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осымша</w:t>
            </w:r>
            <w:proofErr w:type="spellEnd"/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ғылым және жоғары білім министрінің алғыс хаты (2022ж.);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Қызылорда университеті ректорының құрмет грамотасы (2021ж)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алтын медаль (2021ж);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Қызылорда университетінің үздік оқытушысы атағы мен төсбелгісі (2020ж);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университетіне 80 жыл мерекелік медалі (2017ж);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университетіне 75 жыл мерекелік медалі (2012ж);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университетіне 70 жыл мерекелік медалі (2007ж)</w:t>
            </w:r>
            <w:r w:rsidR="00064D9A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64D9A" w:rsidRPr="00200DEF" w:rsidRDefault="00064D9A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2023-2025 жылдарға арналған ғылыми және ғылыми-техникалық жобалар бойынша Ғылым комитетінің гранттық қаржыландыруы негізіндегі АР№19680346 «Сыр сүлейлері шығармаларындағы шығыстық дәстүр» 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(44032531тг)</w:t>
            </w:r>
            <w:r w:rsidR="00200DE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тақырыбындағы ғылыми жоба жетекшісі;</w:t>
            </w:r>
          </w:p>
          <w:p w:rsidR="00106BC4" w:rsidRPr="00200DEF" w:rsidRDefault="00064D9A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2022-2024 жылдарға арналған ҚР Ғылым және жоғары білім министрлігінің ғылыми комитетінің қаржыландыруымен жасалып жатқан №АР14870630 «Сыр өңірінің киелі орындары мен ислам құндылықтарының әдеби-танымдық ерекшеліктері» атты ғылыми жобаның </w:t>
            </w:r>
            <w:r w:rsid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орындаушысы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(2022 жылы);</w:t>
            </w:r>
          </w:p>
          <w:p w:rsidR="00B56853" w:rsidRPr="00200DEF" w:rsidRDefault="007A2D85" w:rsidP="00722B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2018-2020 жылдарға арналған 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және ғылыми-техникалық жобалар бойынша Ғылым комитетінің гранттық қаржыландыруы негізіндегі «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Аймақ эпиграфикасы: рухани жаңғыру және ұрпақ сабақтастығы (Қызылорда облысының материалдары бойынша)»</w:t>
            </w:r>
            <w:r w:rsidR="00200DEF" w:rsidRPr="00200D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(19605973тг) 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атты жобаның орындаушысы</w:t>
            </w:r>
            <w:r w:rsid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(2018жылы)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</w:tbl>
    <w:p w:rsidR="00B56853" w:rsidRDefault="00B56853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91C73" w:rsidRDefault="00F91C73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91C73" w:rsidRDefault="00F91C73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5B35" w:rsidRDefault="0093321F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Ғалым-хатшы:                Л.А.Жусупова</w:t>
      </w:r>
    </w:p>
    <w:sectPr w:rsidR="00EB5B35" w:rsidSect="009B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5435"/>
    <w:multiLevelType w:val="hybridMultilevel"/>
    <w:tmpl w:val="62C45186"/>
    <w:lvl w:ilvl="0" w:tplc="12046C2C">
      <w:numFmt w:val="bullet"/>
      <w:lvlText w:val="-"/>
      <w:lvlJc w:val="left"/>
      <w:pPr>
        <w:ind w:left="3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F33"/>
    <w:rsid w:val="00064D9A"/>
    <w:rsid w:val="00102D12"/>
    <w:rsid w:val="00106BC4"/>
    <w:rsid w:val="00200DEF"/>
    <w:rsid w:val="004A7F33"/>
    <w:rsid w:val="00572BC8"/>
    <w:rsid w:val="005E6C60"/>
    <w:rsid w:val="006271BC"/>
    <w:rsid w:val="00722BEE"/>
    <w:rsid w:val="00764AF2"/>
    <w:rsid w:val="007915A9"/>
    <w:rsid w:val="007A2D85"/>
    <w:rsid w:val="0085185E"/>
    <w:rsid w:val="008F0072"/>
    <w:rsid w:val="0093321F"/>
    <w:rsid w:val="009B5A60"/>
    <w:rsid w:val="009D3B5D"/>
    <w:rsid w:val="009D4D97"/>
    <w:rsid w:val="00A1347D"/>
    <w:rsid w:val="00B56853"/>
    <w:rsid w:val="00B86274"/>
    <w:rsid w:val="00C211D9"/>
    <w:rsid w:val="00D7295F"/>
    <w:rsid w:val="00DA2B0D"/>
    <w:rsid w:val="00DB3113"/>
    <w:rsid w:val="00EB5B35"/>
    <w:rsid w:val="00F4378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C4"/>
    <w:pPr>
      <w:ind w:left="720"/>
      <w:contextualSpacing/>
    </w:pPr>
  </w:style>
  <w:style w:type="character" w:styleId="a4">
    <w:name w:val="Strong"/>
    <w:basedOn w:val="a0"/>
    <w:uiPriority w:val="22"/>
    <w:qFormat/>
    <w:rsid w:val="00EB5B35"/>
    <w:rPr>
      <w:b/>
      <w:bCs/>
    </w:rPr>
  </w:style>
  <w:style w:type="character" w:styleId="a5">
    <w:name w:val="Hyperlink"/>
    <w:basedOn w:val="a0"/>
    <w:uiPriority w:val="99"/>
    <w:semiHidden/>
    <w:unhideWhenUsed/>
    <w:rsid w:val="00EB5B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B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Bashenova Aliya</cp:lastModifiedBy>
  <cp:revision>67</cp:revision>
  <cp:lastPrinted>2024-11-19T05:37:00Z</cp:lastPrinted>
  <dcterms:created xsi:type="dcterms:W3CDTF">2024-04-02T13:05:00Z</dcterms:created>
  <dcterms:modified xsi:type="dcterms:W3CDTF">2024-11-19T05:37:00Z</dcterms:modified>
</cp:coreProperties>
</file>